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B" w:rsidRPr="00932858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08626B" w:rsidRPr="00932858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(ООО «ПРОЦПБ»)</w:t>
      </w:r>
    </w:p>
    <w:p w:rsidR="0008626B" w:rsidRPr="00932858" w:rsidRDefault="0008626B" w:rsidP="000862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sz w:val="24"/>
          <w:szCs w:val="24"/>
          <w:lang w:val="ru-RU"/>
        </w:rPr>
        <w:t>УТВЕРЖДАЮ:</w:t>
      </w:r>
    </w:p>
    <w:p w:rsidR="0008626B" w:rsidRPr="00932858" w:rsidRDefault="0008626B" w:rsidP="0008626B">
      <w:pPr>
        <w:spacing w:before="0" w:beforeAutospacing="0" w:after="0" w:afterAutospacing="0" w:line="276" w:lineRule="auto"/>
        <w:ind w:right="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08626B" w:rsidRPr="00932858" w:rsidRDefault="0008626B" w:rsidP="0008626B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>ООО «ПроЦПБ»</w:t>
      </w: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>_________А.И.Тихонов</w:t>
      </w: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26B" w:rsidRPr="00932858" w:rsidRDefault="0008626B" w:rsidP="000862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Учебно-тематический план программы повышения квалификации «</w:t>
      </w:r>
      <w:r w:rsidR="004D6445"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08626B" w:rsidRPr="00932858" w:rsidRDefault="00354F70" w:rsidP="000862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ПТМ_ПК_01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Категория:</w:t>
      </w:r>
      <w:r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EA1E38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руководители</w:t>
      </w:r>
      <w:r w:rsidR="004D6445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организаций, лиц</w:t>
      </w:r>
      <w:r w:rsidR="00EA1E38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а, назначенные</w:t>
      </w:r>
      <w:r w:rsidR="004D6445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руководителем организации,</w:t>
      </w:r>
      <w:r w:rsidR="00EA1E38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ответственные</w:t>
      </w:r>
      <w:r w:rsidR="004D6445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обеспечение пожарной безопасности, в том числе в обособленных структурных подразделениях организации</w:t>
      </w:r>
      <w:r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8626B" w:rsidRPr="00932858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9328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повышение квалификации </w:t>
      </w:r>
      <w:r w:rsidR="004D6445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руководителей организаций, лиц, назначенных руководителем организации, ответственными за обеспечение пожарной безопасности, в том числе в обособленных структурных подразделениях организации</w:t>
      </w:r>
      <w:r w:rsidRPr="009328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8626B" w:rsidRPr="00932858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Объем:</w:t>
      </w:r>
      <w:r w:rsidR="004D6445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72 часа</w:t>
      </w:r>
      <w:r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4D64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"/>
      </w:tblGrid>
      <w:tr w:rsidR="0008626B" w:rsidRPr="00354F70" w:rsidTr="00CB11D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6B" w:rsidRPr="00932858" w:rsidRDefault="0008626B" w:rsidP="00CB11D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 w:type="page"/>
            </w:r>
          </w:p>
        </w:tc>
      </w:tr>
    </w:tbl>
    <w:p w:rsidR="0008626B" w:rsidRPr="00932858" w:rsidRDefault="0008626B" w:rsidP="000862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Пояснительная записка </w:t>
      </w:r>
    </w:p>
    <w:p w:rsidR="0008626B" w:rsidRPr="00932858" w:rsidRDefault="0008626B" w:rsidP="0008626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32858">
        <w:rPr>
          <w:color w:val="000000"/>
        </w:rPr>
        <w:t>ПОЯСНИТЕЛЬНАЯ ЗАПИСКА</w:t>
      </w:r>
    </w:p>
    <w:p w:rsidR="0008626B" w:rsidRPr="00932858" w:rsidRDefault="0008626B" w:rsidP="0008626B">
      <w:pPr>
        <w:pStyle w:val="a3"/>
        <w:spacing w:before="0" w:beforeAutospacing="0" w:after="0" w:afterAutospacing="0"/>
        <w:rPr>
          <w:color w:val="000000"/>
        </w:rPr>
      </w:pPr>
      <w:r w:rsidRPr="00932858">
        <w:rPr>
          <w:color w:val="000000"/>
        </w:rPr>
        <w:br/>
        <w:t> </w:t>
      </w:r>
    </w:p>
    <w:p w:rsidR="0008626B" w:rsidRPr="00932858" w:rsidRDefault="0008626B" w:rsidP="004D6445">
      <w:pPr>
        <w:pStyle w:val="a3"/>
        <w:spacing w:before="0" w:beforeAutospacing="0" w:after="0" w:afterAutospacing="0"/>
        <w:ind w:firstLine="720"/>
        <w:jc w:val="both"/>
        <w:rPr>
          <w:bCs/>
          <w:color w:val="000000" w:themeColor="text1"/>
          <w:shd w:val="clear" w:color="auto" w:fill="FFFFFF"/>
        </w:rPr>
      </w:pPr>
      <w:r w:rsidRPr="00932858">
        <w:rPr>
          <w:color w:val="000000"/>
        </w:rPr>
        <w:t>Настоящая учебная программа предназначена для повышения</w:t>
      </w:r>
      <w:r w:rsidR="004D6445" w:rsidRPr="00932858">
        <w:rPr>
          <w:color w:val="000000"/>
        </w:rPr>
        <w:t xml:space="preserve"> квалификации</w:t>
      </w:r>
      <w:r w:rsidRPr="00932858">
        <w:rPr>
          <w:color w:val="000000"/>
        </w:rPr>
        <w:t xml:space="preserve"> </w:t>
      </w:r>
      <w:r w:rsidR="004D6445" w:rsidRPr="00932858">
        <w:rPr>
          <w:bCs/>
          <w:color w:val="000000"/>
        </w:rPr>
        <w:t>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организации.</w:t>
      </w:r>
      <w:r w:rsidR="004D6445" w:rsidRPr="00932858">
        <w:rPr>
          <w:color w:val="000000"/>
        </w:rPr>
        <w:t xml:space="preserve"> </w:t>
      </w:r>
      <w:r w:rsidRPr="00932858">
        <w:rPr>
          <w:color w:val="000000"/>
        </w:rPr>
        <w:t>Программа разработана</w:t>
      </w:r>
      <w:r w:rsidR="004D6445" w:rsidRPr="00932858">
        <w:rPr>
          <w:color w:val="000000"/>
        </w:rPr>
        <w:t xml:space="preserve"> в соответствии с требованиями </w:t>
      </w:r>
      <w:r w:rsidRPr="00932858">
        <w:rPr>
          <w:color w:val="000000"/>
        </w:rPr>
        <w:t xml:space="preserve"> об</w:t>
      </w:r>
      <w:r w:rsidR="004D6445" w:rsidRPr="00932858">
        <w:rPr>
          <w:color w:val="000000"/>
        </w:rPr>
        <w:t xml:space="preserve"> утверждении типовых дополнительных профессиональных программ в области пожарной безопасности</w:t>
      </w:r>
      <w:r w:rsidRPr="00932858">
        <w:rPr>
          <w:color w:val="000000"/>
        </w:rPr>
        <w:t xml:space="preserve">, утвержденным Приказом </w:t>
      </w:r>
      <w:r w:rsidR="004D6445" w:rsidRPr="00932858">
        <w:rPr>
          <w:color w:val="000000"/>
        </w:rPr>
        <w:t xml:space="preserve">Министерства </w:t>
      </w:r>
      <w:r w:rsidR="004D6445" w:rsidRPr="00932858">
        <w:rPr>
          <w:bCs/>
          <w:color w:val="000000" w:themeColor="text1"/>
          <w:shd w:val="clear" w:color="auto" w:fill="FFFFFF"/>
        </w:rPr>
        <w:t xml:space="preserve">РФ по делам гражданской обороны, чрезвычайным ситуациям и ликвидации последствий стихийных бедствий от 05 сентября 2021 года № 596 </w:t>
      </w:r>
      <w:r w:rsidRPr="00932858">
        <w:rPr>
          <w:color w:val="000000"/>
        </w:rPr>
        <w:t>и</w:t>
      </w:r>
      <w:r w:rsidR="004D6445" w:rsidRPr="00932858">
        <w:rPr>
          <w:color w:val="000000"/>
        </w:rPr>
        <w:t xml:space="preserve"> Приказа Минобразования РФ от 29.12.2012 года</w:t>
      </w:r>
      <w:r w:rsidRPr="00932858">
        <w:rPr>
          <w:color w:val="000000"/>
        </w:rPr>
        <w:t xml:space="preserve"> №</w:t>
      </w:r>
      <w:r w:rsidR="004D6445" w:rsidRPr="00932858">
        <w:rPr>
          <w:color w:val="000000"/>
        </w:rPr>
        <w:t xml:space="preserve"> 273-ФЗ</w:t>
      </w:r>
      <w:r w:rsidRPr="00932858">
        <w:rPr>
          <w:color w:val="000000"/>
        </w:rPr>
        <w:t xml:space="preserve"> «</w:t>
      </w:r>
      <w:r w:rsidR="004D6445" w:rsidRPr="00932858">
        <w:rPr>
          <w:color w:val="000000"/>
        </w:rPr>
        <w:t>Об образовании в РФ</w:t>
      </w:r>
      <w:r w:rsidRPr="00932858">
        <w:rPr>
          <w:color w:val="000000"/>
        </w:rPr>
        <w:t>».</w:t>
      </w:r>
    </w:p>
    <w:p w:rsidR="00AF6DE9" w:rsidRPr="00932858" w:rsidRDefault="0008626B" w:rsidP="0008626B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32858">
        <w:rPr>
          <w:color w:val="000000"/>
        </w:rPr>
        <w:t xml:space="preserve">Программой предусматривается изучение основных положений </w:t>
      </w:r>
      <w:hyperlink r:id="rId5" w:anchor="6540IN" w:history="1">
        <w:r w:rsidR="00AF6DE9" w:rsidRPr="00932858">
          <w:rPr>
            <w:rStyle w:val="a4"/>
            <w:rFonts w:eastAsiaTheme="majorEastAsia"/>
            <w:color w:val="000000" w:themeColor="text1"/>
            <w:u w:val="none"/>
            <w:shd w:val="clear" w:color="auto" w:fill="FFFFFF"/>
          </w:rPr>
          <w:t>пункта 3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="00AF6DE9" w:rsidRPr="00932858">
        <w:rPr>
          <w:color w:val="000000" w:themeColor="text1"/>
        </w:rPr>
        <w:t xml:space="preserve">  </w:t>
      </w:r>
    </w:p>
    <w:p w:rsidR="0008626B" w:rsidRPr="00932858" w:rsidRDefault="0008626B" w:rsidP="0008626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Программа составлена с учетом знаний и навыков, полученных в общеобразовательных школах, профессионально-технических училищах, а также практических навыков обучающихся.</w:t>
      </w:r>
    </w:p>
    <w:p w:rsidR="0008626B" w:rsidRPr="00932858" w:rsidRDefault="0008626B" w:rsidP="0008626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 xml:space="preserve">Форма организации обучения – очно-заочная, без отрыва от производства. </w:t>
      </w:r>
    </w:p>
    <w:p w:rsidR="0008626B" w:rsidRPr="00932858" w:rsidRDefault="0008626B" w:rsidP="0008626B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Срок обучения по программам профессиональной переподготовки и повыше</w:t>
      </w:r>
      <w:r w:rsidR="00AF6DE9" w:rsidRPr="00932858">
        <w:rPr>
          <w:color w:val="000000"/>
        </w:rPr>
        <w:t>ния квалификации составляет 72 часа</w:t>
      </w:r>
      <w:r w:rsidRPr="00932858">
        <w:rPr>
          <w:color w:val="000000"/>
        </w:rPr>
        <w:t>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</w:t>
      </w:r>
      <w:r w:rsidR="0063405F">
        <w:rPr>
          <w:color w:val="000000"/>
        </w:rPr>
        <w:t>.</w:t>
      </w:r>
    </w:p>
    <w:p w:rsidR="0008626B" w:rsidRPr="00932858" w:rsidRDefault="0008626B" w:rsidP="0008626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 xml:space="preserve">К концу обучения каждый </w:t>
      </w:r>
      <w:r w:rsidR="00AF6DE9" w:rsidRPr="00932858">
        <w:rPr>
          <w:color w:val="000000"/>
        </w:rPr>
        <w:t>учащийся</w:t>
      </w:r>
      <w:r w:rsidRPr="00932858">
        <w:rPr>
          <w:color w:val="000000"/>
        </w:rPr>
        <w:t xml:space="preserve">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08626B" w:rsidRPr="00932858" w:rsidRDefault="0008626B" w:rsidP="0008626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После теоретического обучения в учебном центре каждый учащийся сдает итоговое тестирование.</w:t>
      </w:r>
    </w:p>
    <w:p w:rsidR="0008626B" w:rsidRPr="00932858" w:rsidRDefault="0008626B" w:rsidP="0008626B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После окончания курса обучения и сдачи итогового тестирования слушателям выдается квалификационное свидетельство установленного образца.</w:t>
      </w:r>
    </w:p>
    <w:p w:rsidR="00AF6DE9" w:rsidRPr="00932858" w:rsidRDefault="00AF6DE9" w:rsidP="0008626B">
      <w:pPr>
        <w:pStyle w:val="a3"/>
        <w:spacing w:before="0" w:beforeAutospacing="0" w:after="0" w:afterAutospacing="0"/>
        <w:ind w:firstLine="720"/>
        <w:rPr>
          <w:color w:val="000000"/>
        </w:rPr>
      </w:pPr>
    </w:p>
    <w:p w:rsidR="00AF6DE9" w:rsidRPr="00932858" w:rsidRDefault="00AF6DE9" w:rsidP="00AF6DE9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 и планируемые результаты обучения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32858"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r w:rsidRPr="00932858">
        <w:br/>
        <w:t xml:space="preserve"> </w:t>
      </w:r>
      <w:r w:rsidRPr="00932858">
        <w:tab/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  <w:r w:rsidRPr="00932858">
        <w:br/>
        <w:t>В результате обучения слушатели должны:</w:t>
      </w:r>
    </w:p>
    <w:p w:rsidR="00EA1E38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32858">
        <w:rPr>
          <w:b/>
        </w:rPr>
        <w:t>Знать:</w:t>
      </w:r>
    </w:p>
    <w:p w:rsidR="00AF6DE9" w:rsidRPr="00932858" w:rsidRDefault="00EA1E38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 xml:space="preserve"> -</w:t>
      </w:r>
      <w:r w:rsidR="00AF6DE9" w:rsidRPr="00932858"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  <w:r w:rsidR="00AF6DE9" w:rsidRPr="00932858">
        <w:br/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lastRenderedPageBreak/>
        <w:t>-порядок обучения работников организации мерам пожарной безопасности;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-перечень нарушений требований пожарной безопасности, которые заведомо создают угрозу возникновения пожаров и загораний;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-организационные основы обеспечения пожарной безопасности в организации;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-вопросы обеспечения противопожарной защиты организации.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32858">
        <w:rPr>
          <w:b/>
        </w:rPr>
        <w:t>Уметь: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-пользоваться первичными средствами пожаротушения;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-разрабатывать мероприятия, направленные на усиление противопожарной защиты и предупреждение пожаров;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-разрабатывать программы противопожарных инструктажей;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-организовывать и проводить обучение мерам пожарной безопасности;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-организовывать и проводить учения и тренировки по эвакуации людей и материальных ценностей из зданий, сооружений;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-действовать в случае возникновения пожара.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32858">
        <w:rPr>
          <w:b/>
        </w:rPr>
        <w:t>Владеть: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-практическими навыками применения первичных средств пожаротушения и осмотра до и после их использования;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32858">
        <w:t>-навыками профессионального и эффективного применения на практике приобретенных в процессе обучения знаний и умений</w:t>
      </w:r>
      <w:r w:rsidR="00796F63">
        <w:t>.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55A3" w:rsidRPr="00932858" w:rsidRDefault="003555A3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55A3" w:rsidRPr="00932858" w:rsidRDefault="003555A3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55A3" w:rsidRPr="00932858" w:rsidRDefault="003555A3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6DE9" w:rsidRPr="00932858" w:rsidRDefault="00AF6DE9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6DE9" w:rsidRPr="00932858" w:rsidRDefault="00AF6DE9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6DE9" w:rsidRPr="00932858" w:rsidRDefault="00AF6DE9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EA1E38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Учебно-т</w:t>
      </w:r>
      <w:r w:rsidR="0008626B"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ематический план </w:t>
      </w:r>
    </w:p>
    <w:tbl>
      <w:tblPr>
        <w:tblOverlap w:val="never"/>
        <w:tblW w:w="9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5386"/>
        <w:gridCol w:w="877"/>
        <w:gridCol w:w="1085"/>
        <w:gridCol w:w="992"/>
      </w:tblGrid>
      <w:tr w:rsidR="0008626B" w:rsidRPr="00932858" w:rsidTr="0063405F">
        <w:trPr>
          <w:trHeight w:hRule="exact" w:val="48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№</w:t>
            </w:r>
          </w:p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Наименование разделов, курсов, дисциплин, тем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CB11D3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Всего</w:t>
            </w:r>
          </w:p>
          <w:p w:rsidR="0008626B" w:rsidRPr="00932858" w:rsidRDefault="0008626B" w:rsidP="00CB11D3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CB11D3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Всего</w:t>
            </w:r>
          </w:p>
        </w:tc>
      </w:tr>
      <w:tr w:rsidR="0008626B" w:rsidRPr="00932858" w:rsidTr="0063405F">
        <w:trPr>
          <w:trHeight w:hRule="exact" w:val="470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CB11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практика</w:t>
            </w:r>
          </w:p>
        </w:tc>
      </w:tr>
      <w:tr w:rsidR="0008626B" w:rsidRPr="00932858" w:rsidTr="0063405F">
        <w:trPr>
          <w:trHeight w:hRule="exact" w:val="6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6B" w:rsidRPr="00932858" w:rsidRDefault="00AF6DE9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Организационные основы обеспечения пожарной безопасности</w:t>
            </w:r>
            <w:r w:rsidR="0063405F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26B" w:rsidRPr="00932858" w:rsidTr="0063405F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53290"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D22D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E9" w:rsidRPr="00932858" w:rsidRDefault="00AF6DE9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Государственное регулирование в области пожарной безопасности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  <w:p w:rsidR="0008626B" w:rsidRPr="00932858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932858" w:rsidTr="0063405F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D22D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1FC" w:rsidRPr="00932858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Права, обязанности и ответственность организаций в области пожарной безопасности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  <w:p w:rsidR="0008626B" w:rsidRPr="00932858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932858" w:rsidTr="0063405F">
        <w:trPr>
          <w:trHeight w:hRule="exact" w:val="2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D22D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1FC" w:rsidRPr="0063405F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Противопожарный режим на объекте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  <w:p w:rsidR="0008626B" w:rsidRPr="00932858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08626B" w:rsidRPr="00932858" w:rsidTr="0063405F">
        <w:trPr>
          <w:trHeight w:hRule="exact" w:val="83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D22D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1FC" w:rsidRPr="00932858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Противопожарная пропаганда и обучение работников организаций мерам пожарной безопасности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  <w:p w:rsidR="0008626B" w:rsidRPr="00932858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53290" w:rsidRPr="00932858" w:rsidTr="0063405F">
        <w:trPr>
          <w:trHeight w:hRule="exact" w:val="2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290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D22D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90" w:rsidRPr="00932858" w:rsidRDefault="00753290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Практические занятия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290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290" w:rsidRPr="00932858" w:rsidRDefault="007532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290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8626B" w:rsidRPr="0063405F" w:rsidTr="0063405F">
        <w:trPr>
          <w:trHeight w:hRule="exact" w:val="3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6B" w:rsidRPr="00932858" w:rsidRDefault="00932858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Оценка соответствия объекта защиты</w:t>
            </w:r>
            <w:r w:rsidR="0063405F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85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требованиям пожарной безопасности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26B" w:rsidRPr="0063405F" w:rsidTr="0063405F">
        <w:trPr>
          <w:trHeight w:hRule="exact" w:val="6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858" w:rsidRPr="00CD22D9" w:rsidRDefault="00932858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CD22D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Система обеспечения пожарной безопасности объекта защиты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CD22D9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63405F" w:rsidTr="0063405F">
        <w:trPr>
          <w:trHeight w:hRule="exact" w:val="4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858" w:rsidRPr="0063405F" w:rsidRDefault="00932858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Аккредитация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CD22D9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8626B" w:rsidRPr="00932858" w:rsidTr="0063405F">
        <w:trPr>
          <w:trHeight w:hRule="exact" w:val="7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858" w:rsidRPr="00CD22D9" w:rsidRDefault="00932858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CD22D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Независимая оценка пожарного риска (аудит пожарной безопасности)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CD22D9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26B" w:rsidRPr="00932858" w:rsidTr="0063405F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858" w:rsidRPr="0063405F" w:rsidRDefault="00932858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CD22D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Федеральный государственный пожарный надзор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CD22D9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932858" w:rsidTr="0063405F">
        <w:trPr>
          <w:trHeight w:hRule="exact" w:val="8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858" w:rsidRPr="00CD22D9" w:rsidRDefault="00932858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CD22D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Подтверждение соответствия объектов защиты требованиям пожарной безопасности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CD22D9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08626B" w:rsidRPr="00CD22D9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69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26B" w:rsidRPr="00932858" w:rsidTr="0063405F">
        <w:trPr>
          <w:trHeight w:hRule="exact" w:val="7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858" w:rsidRPr="00CD22D9" w:rsidRDefault="00932858" w:rsidP="00CD22D9">
            <w:pPr>
              <w:pStyle w:val="4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CD22D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Лицензирование и декларирование в области пожарной безопасности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CD22D9" w:rsidRDefault="0008626B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08626B" w:rsidRPr="00932858" w:rsidTr="0063405F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26B" w:rsidRPr="00932858" w:rsidRDefault="006F21FC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Общие принципы обеспечения пожарной безопасности объекта защиты</w:t>
            </w:r>
            <w:r w:rsidR="0063405F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1FC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1FC" w:rsidRPr="0063405F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Классификация пожаров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932858" w:rsidRDefault="006F21FC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F21FC" w:rsidRPr="00932858" w:rsidTr="0063405F">
        <w:trPr>
          <w:trHeight w:hRule="exact" w:val="90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1FC" w:rsidRPr="00932858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электроснабжению и электрооборудованию зданий, сооружений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932858" w:rsidRDefault="006F21FC" w:rsidP="00CD22D9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6F21FC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753290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1FC" w:rsidRPr="0063405F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Молниезащита зданий и сооружений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932858" w:rsidRDefault="006F21FC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6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инженерному оборудованию зданий и сооружений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087974" w:rsidRPr="00932858" w:rsidTr="0063405F">
        <w:trPr>
          <w:trHeight w:hRule="exact" w:val="56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проходам, проездам и подъездам зданий и сооружений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к противопожарным расстояниям между зданиями и сооружениями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63405F" w:rsidRDefault="00087974" w:rsidP="00CD22D9">
            <w:pPr>
              <w:pStyle w:val="4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Обеспечение деятельности подразделений пожарной охраны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системам теплоснабжения и отопления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правил противопожарного режима к пожароопасным работам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4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63405F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Система предотвращения пожаров</w:t>
            </w:r>
            <w:r w:rsidR="0063405F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974" w:rsidRPr="00932858" w:rsidTr="0063405F">
        <w:trPr>
          <w:trHeight w:hRule="exact" w:val="57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Способы исключения условий образования горючей среды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83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Способы исключения условий образования в горючей среде (или внесения в нее) источников зажигания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4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63405F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Системы противопожарной защиты</w:t>
            </w:r>
            <w:r w:rsidR="0063405F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974" w:rsidRPr="00932858" w:rsidTr="0063405F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Способы защиты людей и имущества от воздействия опасных факторов пожара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63405F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Пути эвакуации людей при пожаре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6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обнаружения пожара, оповещения и управления эвакуацией людей при пожаре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7974" w:rsidRPr="00932858" w:rsidTr="0063405F">
        <w:trPr>
          <w:trHeight w:hRule="exact" w:val="8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коллективной защиты, средства индивидуальной защиты и спасения людей от опасных факторов пожара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63405F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Система противодымной защиты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932858" w:rsidRDefault="00087974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6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932858" w:rsidRDefault="00A22392" w:rsidP="00CD22D9">
            <w:pPr>
              <w:pStyle w:val="4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Огнестойкость и пожарная опасность зданий, сооружений и пожарных отсеков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EA1E38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A22392"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Ограничение распространения пожара за пределы очага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392" w:rsidRPr="00932858" w:rsidTr="0063405F">
        <w:trPr>
          <w:trHeight w:hRule="exact" w:val="56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Первичные средства пожаротушения в зданиях и сооружениях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автоматического пожаротушения и пожарной сигнализации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63405F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Общие требования к пожарному оборудованию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63405F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Источники противопожарного водоснабжения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53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63405F" w:rsidRDefault="00A22392" w:rsidP="00CD22D9">
            <w:pPr>
              <w:pStyle w:val="4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противопожарной защиты многофункциональных зданий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5.13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63405F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Практические занятия</w:t>
            </w:r>
            <w:r w:rsidR="0063405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392" w:rsidRPr="00932858" w:rsidRDefault="00A22392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Итоговое тестирование</w:t>
            </w:r>
            <w:r w:rsidR="0063405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58" w:rsidRPr="00932858" w:rsidTr="0063405F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858" w:rsidRPr="00932858" w:rsidRDefault="00932858" w:rsidP="00CD22D9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858" w:rsidRPr="00932858" w:rsidRDefault="00932858" w:rsidP="00CD22D9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Итого</w:t>
            </w:r>
            <w:r w:rsidR="0063405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858" w:rsidRPr="00932858" w:rsidRDefault="00932858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858" w:rsidRPr="00932858" w:rsidRDefault="00932858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58" w:rsidRPr="00932858" w:rsidRDefault="00932858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26B" w:rsidRPr="00932858" w:rsidRDefault="0008626B" w:rsidP="000862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framePr w:w="9888" w:wrap="notBeside" w:vAnchor="text" w:hAnchor="text" w:xAlign="center" w:y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26B" w:rsidRDefault="0008626B" w:rsidP="0008626B">
      <w:pPr>
        <w:rPr>
          <w:rFonts w:ascii="Times New Roman" w:hAnsi="Times New Roman" w:cs="Times New Roman"/>
          <w:lang w:val="ru-RU"/>
        </w:rPr>
      </w:pPr>
      <w:r w:rsidRPr="00126037">
        <w:rPr>
          <w:rFonts w:ascii="Times New Roman" w:hAnsi="Times New Roman" w:cs="Times New Roman"/>
          <w:lang w:val="ru-RU"/>
        </w:rPr>
        <w:br w:type="page"/>
      </w:r>
    </w:p>
    <w:p w:rsidR="00924DFA" w:rsidRPr="00924DFA" w:rsidRDefault="00101BF1" w:rsidP="00924DF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Учебный</w:t>
      </w:r>
      <w:r w:rsidR="00924DFA" w:rsidRPr="00924D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</w:t>
      </w:r>
    </w:p>
    <w:p w:rsidR="00CB11D3" w:rsidRPr="00924DFA" w:rsidRDefault="00CB11D3" w:rsidP="002C137C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Организационные основы обеспечения пожарной безопасности</w:t>
      </w:r>
      <w:r w:rsidR="00924DFA">
        <w:rPr>
          <w:b/>
          <w:bCs/>
          <w:color w:val="000000" w:themeColor="text1"/>
        </w:rPr>
        <w:t>.</w:t>
      </w:r>
    </w:p>
    <w:p w:rsidR="00CB11D3" w:rsidRPr="00924DFA" w:rsidRDefault="00CB11D3" w:rsidP="002C137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     </w:t>
      </w:r>
    </w:p>
    <w:p w:rsidR="00CB11D3" w:rsidRPr="00924DFA" w:rsidRDefault="00CB11D3" w:rsidP="002C137C">
      <w:pPr>
        <w:pStyle w:val="4"/>
        <w:shd w:val="clear" w:color="auto" w:fill="FFFFFF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1.1. Государственное регулирование в области пожарной безопасности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</w:t>
      </w:r>
      <w:r w:rsidR="00924DFA" w:rsidRPr="00924DFA">
        <w:rPr>
          <w:color w:val="000000" w:themeColor="text1"/>
        </w:rPr>
        <w:t xml:space="preserve">асности в Российской Федерации. </w:t>
      </w:r>
      <w:r w:rsidRPr="00924DFA">
        <w:rPr>
          <w:color w:val="000000" w:themeColor="text1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</w:t>
      </w:r>
      <w:r w:rsidR="00924DFA" w:rsidRPr="00924DFA">
        <w:rPr>
          <w:color w:val="000000" w:themeColor="text1"/>
        </w:rPr>
        <w:t xml:space="preserve">ентов по пожарной безопасности. </w:t>
      </w:r>
      <w:r w:rsidRPr="00924DFA">
        <w:rPr>
          <w:color w:val="000000" w:themeColor="text1"/>
        </w:rPr>
        <w:t>Правоприменительная практика в области пожарной безопасности.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hd w:val="clear" w:color="auto" w:fill="FFFFFF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1.2. Права, обязанности и ответственность организаций в области пожарной безопасности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Права и обязанности руководителей организаций и лиц, осуществляющих трудовую или служебную деятельность в организации в</w:t>
      </w:r>
      <w:r w:rsidR="00924DFA" w:rsidRPr="00924DFA">
        <w:rPr>
          <w:color w:val="000000" w:themeColor="text1"/>
        </w:rPr>
        <w:t xml:space="preserve"> области пожарной безопасности. </w:t>
      </w:r>
      <w:r w:rsidRPr="00924DFA">
        <w:rPr>
          <w:color w:val="000000" w:themeColor="text1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обнаружении признаков горения в здании, помещении (задымление, запах гари, повышение температуры воздуха). Инструкции</w:t>
      </w:r>
      <w:r w:rsidR="00924DFA" w:rsidRPr="00924DFA">
        <w:rPr>
          <w:color w:val="000000" w:themeColor="text1"/>
        </w:rPr>
        <w:t xml:space="preserve"> о порядке действий при пожаре. </w:t>
      </w:r>
      <w:r w:rsidRPr="00924DFA">
        <w:rPr>
          <w:color w:val="000000" w:themeColor="text1"/>
        </w:rPr>
        <w:t>Права и обязанности работников организации по созданию объектовых подразделений добровольной пожарной охраны</w:t>
      </w:r>
      <w:r w:rsidR="00924DFA" w:rsidRPr="00924DFA">
        <w:rPr>
          <w:color w:val="000000" w:themeColor="text1"/>
        </w:rPr>
        <w:t xml:space="preserve"> и организация их деятельности. </w:t>
      </w:r>
      <w:r w:rsidRPr="00924DFA">
        <w:rPr>
          <w:color w:val="000000" w:themeColor="text1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CB11D3" w:rsidRPr="00924DFA" w:rsidRDefault="00CB11D3" w:rsidP="002C137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     </w:t>
      </w:r>
    </w:p>
    <w:p w:rsidR="00CB11D3" w:rsidRPr="00924DFA" w:rsidRDefault="00CB11D3" w:rsidP="002C137C">
      <w:pPr>
        <w:pStyle w:val="4"/>
        <w:shd w:val="clear" w:color="auto" w:fill="FFFFFF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1.3. Противопожарный режим на объекте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DD5695" w:rsidP="00924D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hyperlink r:id="rId6" w:anchor="6520IM" w:history="1">
        <w:r w:rsidR="00CB11D3" w:rsidRPr="00924DFA">
          <w:rPr>
            <w:rStyle w:val="a4"/>
            <w:color w:val="000000" w:themeColor="text1"/>
            <w:u w:val="none"/>
          </w:rPr>
          <w:t>Правила противопожарного режима в Российской Федерации</w:t>
        </w:r>
      </w:hyperlink>
      <w:r w:rsidRPr="00DD5695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15pt;height:17pt"/>
        </w:pict>
      </w:r>
      <w:r w:rsidR="00CB11D3" w:rsidRPr="00924DFA">
        <w:rPr>
          <w:color w:val="000000" w:themeColor="text1"/>
        </w:rPr>
        <w:t xml:space="preserve">утверждены </w:t>
      </w:r>
      <w:hyperlink r:id="rId7" w:anchor="7D20K3" w:history="1">
        <w:r w:rsidR="00CB11D3" w:rsidRPr="00924DFA">
          <w:rPr>
            <w:rStyle w:val="a4"/>
            <w:color w:val="000000" w:themeColor="text1"/>
            <w:u w:val="none"/>
          </w:rPr>
          <w:t>постановлением Правительства Российской Федерации от 16 сентября 2020 г. N 1479</w:t>
        </w:r>
      </w:hyperlink>
      <w:r w:rsidR="00CB11D3" w:rsidRPr="00924DFA">
        <w:rPr>
          <w:color w:val="000000" w:themeColor="text1"/>
        </w:rPr>
        <w:t> (Собрание законодательства Российской Фе</w:t>
      </w:r>
      <w:r w:rsidR="002C137C" w:rsidRPr="00924DFA">
        <w:rPr>
          <w:color w:val="000000" w:themeColor="text1"/>
        </w:rPr>
        <w:t>дерации, 2020, N 39, ст.6056).</w:t>
      </w:r>
      <w:r w:rsidR="00924DFA" w:rsidRPr="00924DFA">
        <w:rPr>
          <w:color w:val="000000" w:themeColor="text1"/>
        </w:rPr>
        <w:t xml:space="preserve"> </w:t>
      </w:r>
      <w:r w:rsidR="00CB11D3" w:rsidRPr="00924DFA">
        <w:rPr>
          <w:color w:val="000000" w:themeColor="text1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Назначение лиц, ответственных за обеспечение пожарной безопасности на объекте. Разработка инструкции о мерах пожарной безопасности, инструкции о действиях персонала по эвакуац</w:t>
      </w:r>
      <w:r w:rsidR="00924DFA" w:rsidRPr="00924DFA">
        <w:rPr>
          <w:color w:val="000000" w:themeColor="text1"/>
        </w:rPr>
        <w:t xml:space="preserve">ии и спасению людей при пожаре. </w:t>
      </w:r>
      <w:r w:rsidR="00CB11D3" w:rsidRPr="00924DFA">
        <w:rPr>
          <w:color w:val="000000" w:themeColor="text1"/>
        </w:rPr>
        <w:t>Создание безопасных рабочих мест и зон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br/>
      </w:r>
    </w:p>
    <w:p w:rsidR="00924DFA" w:rsidRDefault="00924DFA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</w:p>
    <w:p w:rsidR="00924DFA" w:rsidRDefault="00924DFA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1.4. Противопожарная пропаганда и обучение работников организаций мерам пожарной безопасности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Понятие противопожарной пропаганды. Цели, задачи, формы проведе</w:t>
      </w:r>
      <w:r w:rsidR="00924DFA" w:rsidRPr="00924DFA">
        <w:rPr>
          <w:color w:val="000000" w:themeColor="text1"/>
        </w:rPr>
        <w:t xml:space="preserve">ния противопожарной пропаганды. </w:t>
      </w:r>
      <w:r w:rsidRPr="00924DFA">
        <w:rPr>
          <w:color w:val="000000" w:themeColor="text1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</w:t>
      </w:r>
      <w:r w:rsidR="00924DFA" w:rsidRPr="00924DFA">
        <w:rPr>
          <w:color w:val="000000" w:themeColor="text1"/>
        </w:rPr>
        <w:t xml:space="preserve">ий мерам пожарной безопасности. </w:t>
      </w:r>
      <w:r w:rsidRPr="00924DFA">
        <w:rPr>
          <w:color w:val="000000" w:themeColor="text1"/>
        </w:rPr>
        <w:t>Подготовка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</w:t>
      </w:r>
      <w:r w:rsidR="00924DFA" w:rsidRPr="00924DFA">
        <w:rPr>
          <w:color w:val="000000" w:themeColor="text1"/>
        </w:rPr>
        <w:t xml:space="preserve"> Учения и тренировки персонала. </w:t>
      </w:r>
      <w:r w:rsidRPr="00924DFA">
        <w:rPr>
          <w:color w:val="000000" w:themeColor="text1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1.5. Практические занятия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</w:t>
      </w:r>
      <w:r w:rsidR="00924DFA" w:rsidRPr="00924DFA">
        <w:rPr>
          <w:color w:val="000000" w:themeColor="text1"/>
        </w:rPr>
        <w:t xml:space="preserve">чи пропагандистского материала. </w:t>
      </w:r>
      <w:r w:rsidRPr="00924DFA">
        <w:rPr>
          <w:color w:val="000000" w:themeColor="text1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headertext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Оценка соответствия объекта защиты требованиям пожарной безопасности</w:t>
      </w:r>
      <w:r w:rsidR="00924DFA">
        <w:rPr>
          <w:b/>
          <w:bCs/>
          <w:color w:val="000000" w:themeColor="text1"/>
        </w:rPr>
        <w:t>.</w:t>
      </w:r>
    </w:p>
    <w:p w:rsidR="00CB11D3" w:rsidRPr="00924DFA" w:rsidRDefault="00CB11D3" w:rsidP="002C137C">
      <w:pPr>
        <w:pStyle w:val="headertext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     </w:t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2.1. Система обеспечения пожарной безопасности объекта защиты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2.2. Аккредитация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2.3. Независимая оценка пожарного риска (аудит пожарной безопасности)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Система независимой оценки рисков в области пожарной безопасности. Цели и задачи проведения независимой оценки пожарного риска. </w:t>
      </w:r>
      <w:hyperlink r:id="rId8" w:anchor="6540IN" w:history="1">
        <w:r w:rsidRPr="00924DFA">
          <w:rPr>
            <w:rStyle w:val="a4"/>
            <w:color w:val="000000" w:themeColor="text1"/>
            <w:u w:val="none"/>
          </w:rPr>
          <w:t>Правила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  </w:r>
      </w:hyperlink>
      <w:r w:rsidRPr="00924DFA">
        <w:rPr>
          <w:color w:val="000000" w:themeColor="text1"/>
        </w:rPr>
        <w:t xml:space="preserve">. Общие требования к определению расчетных </w:t>
      </w:r>
      <w:r w:rsidRPr="00924DFA">
        <w:rPr>
          <w:color w:val="000000" w:themeColor="text1"/>
        </w:rPr>
        <w:lastRenderedPageBreak/>
        <w:t>величин пожарного риска.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  <w:r w:rsidR="00924DFA" w:rsidRPr="00924DFA">
        <w:rPr>
          <w:color w:val="000000" w:themeColor="text1"/>
        </w:rPr>
        <w:t xml:space="preserve"> </w:t>
      </w:r>
      <w:r w:rsidRPr="00924DFA">
        <w:rPr>
          <w:color w:val="000000" w:themeColor="text1"/>
        </w:rPr>
        <w:t>Утверждены </w:t>
      </w:r>
      <w:hyperlink r:id="rId9" w:anchor="64U0IK" w:history="1">
        <w:r w:rsidRPr="00924DFA">
          <w:rPr>
            <w:rStyle w:val="a4"/>
            <w:color w:val="000000" w:themeColor="text1"/>
            <w:u w:val="none"/>
          </w:rPr>
          <w:t>постановлением Правительства Российской Федерации от 31 августа 2020 года N 1325</w:t>
        </w:r>
      </w:hyperlink>
      <w:r w:rsidRPr="00924DFA">
        <w:rPr>
          <w:color w:val="000000" w:themeColor="text1"/>
        </w:rPr>
        <w:t> (Собрание законодательства Российской Федерации, 2020, N 36, ст.5633).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2.4. Федеральный государственный пожарный надзор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2.5. Подтверждение соответствия объектов защиты требованиям пожарной безопасности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2.6. Лицензирование и декларирование в области пожарной безопасности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D95114" w:rsidRDefault="00CB11D3" w:rsidP="00D95114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</w:t>
      </w:r>
      <w:r w:rsidR="002C137C" w:rsidRPr="00924DFA">
        <w:rPr>
          <w:color w:val="000000" w:themeColor="text1"/>
        </w:rPr>
        <w:t>ензионных требований и условий.</w:t>
      </w:r>
      <w:r w:rsidR="00924DFA" w:rsidRPr="00924DFA">
        <w:rPr>
          <w:color w:val="000000" w:themeColor="text1"/>
        </w:rPr>
        <w:t xml:space="preserve"> </w:t>
      </w:r>
      <w:r w:rsidRPr="00924DFA">
        <w:rPr>
          <w:color w:val="000000" w:themeColor="text1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CB11D3" w:rsidRPr="00924DFA" w:rsidRDefault="00CB11D3" w:rsidP="00D95114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headertext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Общие принципы обеспечения пожарной безопасности объекта защиты</w:t>
      </w:r>
      <w:r w:rsidR="00924DFA">
        <w:rPr>
          <w:b/>
          <w:bCs/>
          <w:color w:val="000000" w:themeColor="text1"/>
        </w:rPr>
        <w:t>.</w:t>
      </w:r>
    </w:p>
    <w:p w:rsidR="00CB11D3" w:rsidRPr="00924DFA" w:rsidRDefault="00CB11D3" w:rsidP="002C137C">
      <w:pPr>
        <w:pStyle w:val="headertext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     </w:t>
      </w:r>
    </w:p>
    <w:p w:rsidR="00924DFA" w:rsidRPr="00924DFA" w:rsidRDefault="00CB11D3" w:rsidP="00924DFA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</w:t>
      </w: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3.1. Классификация пожаров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924DFA" w:rsidRPr="00924DFA" w:rsidRDefault="00924DFA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2C137C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3.2. Требования пожарной безопасности к электроснабжению и электрооборудованию зданий, сооружений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2C137C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 xml:space="preserve"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</w:t>
      </w:r>
      <w:r w:rsidRPr="00924DFA">
        <w:rPr>
          <w:color w:val="000000" w:themeColor="text1"/>
        </w:rPr>
        <w:lastRenderedPageBreak/>
        <w:t>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Ф1-Ф5.</w:t>
      </w:r>
      <w:r w:rsidR="00924DFA" w:rsidRPr="00924DFA">
        <w:rPr>
          <w:color w:val="000000" w:themeColor="text1"/>
        </w:rPr>
        <w:t xml:space="preserve"> </w:t>
      </w:r>
      <w:hyperlink r:id="rId10" w:anchor="8Q60M6" w:history="1">
        <w:r w:rsidRPr="00924DFA">
          <w:rPr>
            <w:rStyle w:val="a4"/>
            <w:color w:val="000000" w:themeColor="text1"/>
            <w:u w:val="none"/>
          </w:rPr>
          <w:t>Часть 1 статьи 32 Федерального закона от 22 июля 2008 г. N 123-ФЗ "Технический регламент о требованиях пожарной безопасности"</w:t>
        </w:r>
      </w:hyperlink>
      <w:r w:rsidRPr="00924DFA">
        <w:rPr>
          <w:color w:val="000000" w:themeColor="text1"/>
        </w:rPr>
        <w:t> (Собрание законодательства Российской Федерации, 2008, N 30, ст.3579; 2012, N 29, ст.3997) (далее - Федеральный закон N 123-ФЗ).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3.3. Молниезащита зданий и сооружений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Категории молниезащиты. Защита зданий и сооружений от прямых ударов молнии и от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3.4. Требования пожарной безопасности к инженерному оборудованию зданий и сооружений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 Порядок аварийного отключения</w:t>
      </w:r>
      <w:r w:rsidR="00924DFA" w:rsidRPr="00924DFA">
        <w:rPr>
          <w:color w:val="000000" w:themeColor="text1"/>
        </w:rPr>
        <w:t xml:space="preserve"> систем отопления и вентиляции. </w:t>
      </w:r>
      <w:r w:rsidRPr="00924DFA">
        <w:rPr>
          <w:color w:val="000000" w:themeColor="text1"/>
        </w:rP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</w:t>
      </w:r>
      <w:r w:rsidR="00924DFA" w:rsidRPr="00924DFA">
        <w:rPr>
          <w:color w:val="000000" w:themeColor="text1"/>
        </w:rPr>
        <w:t xml:space="preserve">лощадки). </w:t>
      </w:r>
      <w:r w:rsidRPr="00924DFA">
        <w:rPr>
          <w:color w:val="000000" w:themeColor="text1"/>
        </w:rPr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3.5. Требования пожарной безопасности к проходам, проездам и подъездам зданий и сооружений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3.6. Требования к противопожарным расстояниям между зданиями и сооружениями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</w:t>
      </w:r>
      <w:r w:rsidRPr="00924DFA">
        <w:rPr>
          <w:color w:val="000000" w:themeColor="text1"/>
        </w:rPr>
        <w:lastRenderedPageBreak/>
        <w:t>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3.7. Обеспечение деятельности подразделений пожарной охраны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3.8. Требования пожарной безопасности к системам теплоснабжения и отопления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Ф1-Ф5.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3.9. Требования правил противопожарного режима к пожароопасным работам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924DFA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Виды пожароопасных работ. Общие требования пожарной безопасности при проведе</w:t>
      </w:r>
      <w:r w:rsidR="00924DFA" w:rsidRPr="00924DFA">
        <w:rPr>
          <w:color w:val="000000" w:themeColor="text1"/>
        </w:rPr>
        <w:t xml:space="preserve">нии пожароопасных работ. </w:t>
      </w:r>
      <w:r w:rsidRPr="00924DFA">
        <w:rPr>
          <w:color w:val="000000" w:themeColor="text1"/>
        </w:rPr>
        <w:t>Виды и характеристика огневых работ. Порядок оформления наряда-допуска на проведение огневых работ.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B27790" w:rsidRDefault="00DD5695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hyperlink r:id="rId11" w:anchor="A860NC" w:history="1">
        <w:r w:rsidR="00CB11D3" w:rsidRPr="00924DFA">
          <w:rPr>
            <w:rStyle w:val="a4"/>
            <w:color w:val="000000" w:themeColor="text1"/>
            <w:u w:val="none"/>
          </w:rPr>
          <w:t>Пункт 372 Правил противопожарного режима в Российской Федерации</w:t>
        </w:r>
      </w:hyperlink>
      <w:r w:rsidR="00CB11D3" w:rsidRPr="00924DFA">
        <w:rPr>
          <w:color w:val="000000" w:themeColor="text1"/>
        </w:rPr>
        <w:t>, утвержденных </w:t>
      </w:r>
      <w:hyperlink r:id="rId12" w:anchor="7D20K3" w:history="1">
        <w:r w:rsidR="00CB11D3" w:rsidRPr="00924DFA">
          <w:rPr>
            <w:rStyle w:val="a4"/>
            <w:color w:val="000000" w:themeColor="text1"/>
            <w:u w:val="none"/>
          </w:rPr>
          <w:t>постановлением Правительства Российской Федерации от 16 сентября 2020 г. N 1479</w:t>
        </w:r>
      </w:hyperlink>
      <w:r w:rsidR="00CB11D3" w:rsidRPr="00924DFA">
        <w:rPr>
          <w:color w:val="000000" w:themeColor="text1"/>
        </w:rPr>
        <w:t> (Собрание законодательства Российской Фе</w:t>
      </w:r>
      <w:r w:rsidR="002C137C" w:rsidRPr="00924DFA">
        <w:rPr>
          <w:color w:val="000000" w:themeColor="text1"/>
        </w:rPr>
        <w:t xml:space="preserve">дерации, 2020, N 39, ст.6056). </w:t>
      </w:r>
      <w:r w:rsidR="00CB11D3" w:rsidRPr="00924DFA">
        <w:rPr>
          <w:color w:val="000000" w:themeColor="text1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</w:t>
      </w:r>
      <w:r w:rsidR="002C137C" w:rsidRPr="00924DFA">
        <w:rPr>
          <w:color w:val="000000" w:themeColor="text1"/>
        </w:rPr>
        <w:t xml:space="preserve">его места при проведении работ. </w:t>
      </w:r>
      <w:r w:rsidR="00CB11D3" w:rsidRPr="00924DFA">
        <w:rPr>
          <w:color w:val="000000" w:themeColor="text1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  <w:r w:rsidR="002C137C" w:rsidRPr="00924DFA">
        <w:rPr>
          <w:color w:val="000000" w:themeColor="text1"/>
        </w:rPr>
        <w:t xml:space="preserve"> </w:t>
      </w:r>
      <w:r w:rsidR="00CB11D3" w:rsidRPr="00924DFA">
        <w:rPr>
          <w:color w:val="000000" w:themeColor="text1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</w:t>
      </w:r>
      <w:r w:rsidR="002C137C" w:rsidRPr="00924DFA">
        <w:rPr>
          <w:color w:val="000000" w:themeColor="text1"/>
        </w:rPr>
        <w:t xml:space="preserve">ции электросварочных аппаратов. </w:t>
      </w:r>
      <w:r w:rsidR="00CB11D3" w:rsidRPr="00924DFA">
        <w:rPr>
          <w:color w:val="000000" w:themeColor="text1"/>
        </w:rP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B27790" w:rsidRDefault="00B27790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headertext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lastRenderedPageBreak/>
        <w:t>Система предотвращения пожаров</w:t>
      </w:r>
      <w:r w:rsidR="00924DFA">
        <w:rPr>
          <w:b/>
          <w:bCs/>
          <w:color w:val="000000" w:themeColor="text1"/>
        </w:rPr>
        <w:t>.</w:t>
      </w:r>
    </w:p>
    <w:p w:rsidR="00CB11D3" w:rsidRPr="00924DFA" w:rsidRDefault="00CB11D3" w:rsidP="002C137C">
      <w:pPr>
        <w:pStyle w:val="headertext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     </w:t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4.1. Способы исключения условий образования горючей среды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Цель создания систем предотвращения пожаров. Требования </w:t>
      </w:r>
      <w:hyperlink r:id="rId13" w:anchor="7D20K3" w:history="1">
        <w:r w:rsidRPr="00924DFA">
          <w:rPr>
            <w:rStyle w:val="a4"/>
            <w:color w:val="000000" w:themeColor="text1"/>
            <w:u w:val="none"/>
          </w:rPr>
          <w:t>Федерального закона от 22 июля 2008 г. N 123-ФЗ "Технический регламент о требованиях пожарной безопасности"</w:t>
        </w:r>
      </w:hyperlink>
      <w:r w:rsidR="002C137C" w:rsidRPr="00924DFA">
        <w:rPr>
          <w:color w:val="000000" w:themeColor="text1"/>
        </w:rPr>
        <w:t xml:space="preserve">. </w:t>
      </w:r>
      <w:r w:rsidRPr="00924DFA">
        <w:rPr>
          <w:color w:val="000000" w:themeColor="text1"/>
        </w:rPr>
        <w:t> Собрание законодательства Российской Федерации, 2008, N 30, ст.3579; 2021, N 18, ст.3061.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4.2. Способы исключения условий образования в горючей среде (или внесения в нее) источников зажигания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CB11D3" w:rsidRPr="00924DFA" w:rsidRDefault="00CB11D3" w:rsidP="00D95114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headertext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Системы противопожарной защиты</w:t>
      </w:r>
      <w:r w:rsidR="00924DFA">
        <w:rPr>
          <w:b/>
          <w:bCs/>
          <w:color w:val="000000" w:themeColor="text1"/>
        </w:rPr>
        <w:t>.</w:t>
      </w:r>
    </w:p>
    <w:p w:rsidR="00CB11D3" w:rsidRPr="00924DFA" w:rsidRDefault="00CB11D3" w:rsidP="002C137C">
      <w:pPr>
        <w:pStyle w:val="headertext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924DFA">
        <w:rPr>
          <w:b/>
          <w:bCs/>
          <w:color w:val="000000" w:themeColor="text1"/>
        </w:rPr>
        <w:t>     </w:t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5.1. Способы защиты людей и имущества от воздействия опасных факторов пожара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2C137C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CB11D3" w:rsidRPr="00924DFA" w:rsidRDefault="00CB11D3" w:rsidP="00924DFA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</w:t>
      </w: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5.2. Пути эвакуации людей при пожаре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5.3. Системы обнаружения пожара, оповещения и управления эвакуацией людей при пожаре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Требования нормативных документов по пожарной безопасности к установкам пожарной сиг</w:t>
      </w:r>
      <w:r w:rsidR="002C137C" w:rsidRPr="00924DFA">
        <w:rPr>
          <w:color w:val="000000" w:themeColor="text1"/>
        </w:rPr>
        <w:t xml:space="preserve">нализации. </w:t>
      </w:r>
      <w:r w:rsidRPr="00924DFA">
        <w:rPr>
          <w:color w:val="000000" w:themeColor="text1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</w:t>
      </w:r>
      <w:r w:rsidRPr="00924DFA">
        <w:rPr>
          <w:color w:val="000000" w:themeColor="text1"/>
        </w:rPr>
        <w:lastRenderedPageBreak/>
        <w:t>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5.4. Системы коллективной защиты, средства индивидуальной защиты и спасения людей от опасных факторов пожара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</w:t>
      </w:r>
      <w:r w:rsidR="002C137C" w:rsidRPr="00924DFA">
        <w:rPr>
          <w:color w:val="000000" w:themeColor="text1"/>
        </w:rPr>
        <w:t xml:space="preserve">телями специального назначения. </w:t>
      </w:r>
      <w:r w:rsidRPr="00924DFA">
        <w:rPr>
          <w:color w:val="000000" w:themeColor="text1"/>
        </w:rPr>
        <w:t>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5.5. Система противодымной защиты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Назначение противодымной защиты. Противодымная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 наладка, обслуживание систем приточно-вытяжной противодымной вентиляции. Проведение приемосдаточных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Проведение приемо-сдаточных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5.6. Огнестойкость и пожарная опасность зданий, сооружений и пожарных отсеков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</w:t>
      </w:r>
      <w:r w:rsidR="002C137C" w:rsidRPr="00924DFA">
        <w:rPr>
          <w:color w:val="000000" w:themeColor="text1"/>
        </w:rPr>
        <w:t xml:space="preserve">ой пожарной опасности Ф1-Ф5. </w:t>
      </w:r>
      <w:r w:rsidRPr="00924DFA">
        <w:rPr>
          <w:color w:val="000000" w:themeColor="text1"/>
        </w:rPr>
        <w:t xml:space="preserve"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нормативными документами к заполнению проемов в противопожарных преградах. Методы испытаний на огнестойкость </w:t>
      </w:r>
      <w:r w:rsidRPr="00924DFA">
        <w:rPr>
          <w:color w:val="000000" w:themeColor="text1"/>
        </w:rPr>
        <w:lastRenderedPageBreak/>
        <w:t>заполнений проемов.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5.7. Ограничение распространения пожара за пределы очага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5.8. Первичные средства пожаротушения в зданиях и сооружениях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5.9. Системы автоматического пожаротушения и пожарной сигнализации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B27790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Оснащение помещений, зданий и сооружений класса Ф1-Ф5 автоматическими установками пожарной сигн</w:t>
      </w:r>
      <w:r w:rsidR="00B27790">
        <w:rPr>
          <w:color w:val="000000" w:themeColor="text1"/>
        </w:rPr>
        <w:t xml:space="preserve">ализации и (или) пожаротушения. </w:t>
      </w:r>
      <w:r w:rsidRPr="00924DFA">
        <w:rPr>
          <w:color w:val="000000" w:themeColor="text1"/>
        </w:rP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</w:t>
      </w:r>
      <w:r w:rsidR="002C137C" w:rsidRPr="00924DFA">
        <w:rPr>
          <w:color w:val="000000" w:themeColor="text1"/>
        </w:rPr>
        <w:t xml:space="preserve">чных пожарных извещателей). </w:t>
      </w:r>
      <w:r w:rsidRPr="00924DFA">
        <w:rPr>
          <w:color w:val="000000" w:themeColor="text1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5.10. Общие требования к пожарному оборудованию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lastRenderedPageBreak/>
        <w:t>5.11. Источники противопожарного водоснабжения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5.12. Системы противопожарной защиты многофункциональных зданий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</w:t>
      </w:r>
      <w:r w:rsidR="002C137C" w:rsidRPr="00924DFA">
        <w:rPr>
          <w:color w:val="000000" w:themeColor="text1"/>
        </w:rPr>
        <w:t xml:space="preserve">одразделений - пожарным лифтам. </w:t>
      </w:r>
      <w:r w:rsidRPr="00924DFA">
        <w:rPr>
          <w:color w:val="000000" w:themeColor="text1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  <w:r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4"/>
        <w:spacing w:before="0" w:beforeAutospacing="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5.13. Практические занятия</w:t>
      </w:r>
      <w:r w:rsidR="00924DF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Отработка порядка действий при т</w:t>
      </w:r>
      <w:r w:rsidR="002C137C" w:rsidRPr="00924DFA">
        <w:rPr>
          <w:color w:val="000000" w:themeColor="text1"/>
        </w:rPr>
        <w:t xml:space="preserve">ревогах: "задымление", "пожар". </w:t>
      </w:r>
      <w:r w:rsidRPr="00924DFA">
        <w:rPr>
          <w:color w:val="000000" w:themeColor="text1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</w:t>
      </w:r>
      <w:r w:rsidR="002C137C" w:rsidRPr="00924DFA">
        <w:rPr>
          <w:color w:val="000000" w:themeColor="text1"/>
        </w:rPr>
        <w:t xml:space="preserve"> и самоспасания людей с высоты. </w:t>
      </w:r>
      <w:r w:rsidRPr="00924DFA">
        <w:rPr>
          <w:color w:val="000000" w:themeColor="text1"/>
        </w:rPr>
        <w:t>Тренировка по практическому применению первичных средств пожаротушения.</w:t>
      </w:r>
      <w:r w:rsidRPr="00924DFA">
        <w:rPr>
          <w:color w:val="000000" w:themeColor="text1"/>
        </w:rPr>
        <w:br/>
      </w:r>
    </w:p>
    <w:p w:rsidR="00924DFA" w:rsidRPr="00924DFA" w:rsidRDefault="00CB11D3" w:rsidP="00924DFA">
      <w:pPr>
        <w:pStyle w:val="3"/>
        <w:spacing w:before="0" w:beforeAutospacing="0" w:afterAutospacing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 реализации Программы</w:t>
      </w:r>
      <w:r w:rsidR="00924D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1</w:t>
      </w:r>
      <w:r w:rsidR="00CB11D3" w:rsidRPr="00924DFA">
        <w:rPr>
          <w:color w:val="000000" w:themeColor="text1"/>
        </w:rPr>
        <w:t xml:space="preserve">. Реализация Программы должна обеспечить приобретение слушателями знаний и умений, необходимых для обеспечения пожарной </w:t>
      </w:r>
      <w:r w:rsidRPr="00924DFA">
        <w:rPr>
          <w:color w:val="000000" w:themeColor="text1"/>
        </w:rPr>
        <w:t>безопасности на объекте защиты.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2</w:t>
      </w:r>
      <w:r w:rsidR="00CB11D3" w:rsidRPr="00924DFA">
        <w:rPr>
          <w:color w:val="000000" w:themeColor="text1"/>
        </w:rPr>
        <w:t>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</w:t>
      </w:r>
      <w:r w:rsidRPr="00924DFA">
        <w:rPr>
          <w:color w:val="000000" w:themeColor="text1"/>
        </w:rPr>
        <w:t>ительностью проведения занятий.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3</w:t>
      </w:r>
      <w:r w:rsidR="00CB11D3" w:rsidRPr="00924DFA">
        <w:rPr>
          <w:color w:val="000000" w:themeColor="text1"/>
        </w:rPr>
        <w:t>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</w:t>
      </w:r>
      <w:r w:rsidRPr="00924DFA">
        <w:rPr>
          <w:color w:val="000000" w:themeColor="text1"/>
        </w:rPr>
        <w:t>ю последовательность изложения.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4</w:t>
      </w:r>
      <w:r w:rsidR="00CB11D3" w:rsidRPr="00924DFA">
        <w:rPr>
          <w:color w:val="000000" w:themeColor="text1"/>
        </w:rPr>
        <w:t>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  <w:r w:rsidR="00CB11D3" w:rsidRPr="00924DFA">
        <w:rPr>
          <w:color w:val="000000" w:themeColor="text1"/>
        </w:rPr>
        <w:br/>
      </w:r>
    </w:p>
    <w:p w:rsidR="00CB11D3" w:rsidRPr="00924DFA" w:rsidRDefault="00CB11D3" w:rsidP="002C137C">
      <w:pPr>
        <w:pStyle w:val="3"/>
        <w:spacing w:before="0" w:beforeAutospacing="0" w:afterAutospacing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4D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 качества освоения Программы</w:t>
      </w:r>
      <w:r w:rsidR="00924D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1</w:t>
      </w:r>
      <w:r w:rsidR="00CB11D3" w:rsidRPr="00924DFA">
        <w:rPr>
          <w:color w:val="000000" w:themeColor="text1"/>
        </w:rPr>
        <w:t xml:space="preserve">. Оценка качества освоения Программы включает текущий контроль успеваемости, промежуточную аттестацию по каждому разделу Программы и </w:t>
      </w:r>
      <w:r w:rsidRPr="00924DFA">
        <w:rPr>
          <w:color w:val="000000" w:themeColor="text1"/>
        </w:rPr>
        <w:t>итоговое тестирование.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lastRenderedPageBreak/>
        <w:t>2</w:t>
      </w:r>
      <w:r w:rsidR="00CB11D3" w:rsidRPr="00924DFA">
        <w:rPr>
          <w:color w:val="000000" w:themeColor="text1"/>
        </w:rPr>
        <w:t>. Формы и процедуры текущего контроля успеваемости и промежуточной аттестации слушателей устанавливаются образовательн</w:t>
      </w:r>
      <w:r w:rsidRPr="00924DFA">
        <w:rPr>
          <w:color w:val="000000" w:themeColor="text1"/>
        </w:rPr>
        <w:t>ой организацией самостоятельно.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3</w:t>
      </w:r>
      <w:r w:rsidR="00CB11D3" w:rsidRPr="00924DFA">
        <w:rPr>
          <w:color w:val="000000" w:themeColor="text1"/>
        </w:rPr>
        <w:t xml:space="preserve">. Освоение Программы завершается </w:t>
      </w:r>
      <w:r w:rsidRPr="00924DFA">
        <w:rPr>
          <w:color w:val="000000" w:themeColor="text1"/>
        </w:rPr>
        <w:t>итоговым тестированием, которое</w:t>
      </w:r>
      <w:r w:rsidR="00CB11D3" w:rsidRPr="00924DFA">
        <w:rPr>
          <w:color w:val="000000" w:themeColor="text1"/>
        </w:rPr>
        <w:t xml:space="preserve"> нап</w:t>
      </w:r>
      <w:r w:rsidRPr="00924DFA">
        <w:rPr>
          <w:color w:val="000000" w:themeColor="text1"/>
        </w:rPr>
        <w:t>равлено</w:t>
      </w:r>
      <w:r w:rsidR="00CB11D3" w:rsidRPr="00924DFA">
        <w:rPr>
          <w:color w:val="000000" w:themeColor="text1"/>
        </w:rPr>
        <w:t xml:space="preserve"> на определение теоретической и практическ</w:t>
      </w:r>
      <w:r w:rsidRPr="00924DFA">
        <w:rPr>
          <w:color w:val="000000" w:themeColor="text1"/>
        </w:rPr>
        <w:t>ой подготовленности слушателей</w:t>
      </w:r>
    </w:p>
    <w:p w:rsidR="002C137C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4</w:t>
      </w:r>
      <w:r w:rsidR="00CB11D3" w:rsidRPr="00924DFA">
        <w:rPr>
          <w:color w:val="000000" w:themeColor="text1"/>
        </w:rPr>
        <w:t>. В соответствии с </w:t>
      </w:r>
      <w:hyperlink r:id="rId14" w:anchor="A9Q0NO" w:history="1">
        <w:r w:rsidR="00CB11D3" w:rsidRPr="00924DFA">
          <w:rPr>
            <w:rStyle w:val="a4"/>
            <w:color w:val="000000" w:themeColor="text1"/>
            <w:u w:val="none"/>
          </w:rPr>
          <w:t>частью 3</w:t>
        </w:r>
      </w:hyperlink>
      <w:r w:rsidR="00CB11D3" w:rsidRPr="00924DFA">
        <w:rPr>
          <w:color w:val="000000" w:themeColor="text1"/>
        </w:rPr>
        <w:t> и </w:t>
      </w:r>
      <w:hyperlink r:id="rId15" w:anchor="A840NB" w:history="1">
        <w:r w:rsidR="00CB11D3" w:rsidRPr="00924DFA">
          <w:rPr>
            <w:rStyle w:val="a4"/>
            <w:color w:val="000000" w:themeColor="text1"/>
            <w:u w:val="none"/>
          </w:rPr>
          <w:t>частью 10 статьи 60 Федерального закона N 273-ФЗ</w:t>
        </w:r>
      </w:hyperlink>
      <w:r w:rsidR="00DD5695" w:rsidRPr="00DD5695">
        <w:rPr>
          <w:color w:val="000000" w:themeColor="text1"/>
        </w:rPr>
        <w:pict>
          <v:shape id="_x0000_i1026" type="#_x0000_t75" alt="" style="width:8.15pt;height:17pt"/>
        </w:pict>
      </w:r>
      <w:r w:rsidR="00CB11D3" w:rsidRPr="00924DFA">
        <w:rPr>
          <w:color w:val="000000" w:themeColor="text1"/>
        </w:rPr>
        <w:t xml:space="preserve"> лицам, успешно освоившим Программу и прошедшим </w:t>
      </w:r>
      <w:r w:rsidRPr="00924DFA">
        <w:rPr>
          <w:color w:val="000000" w:themeColor="text1"/>
        </w:rPr>
        <w:t>итоговое тестирование</w:t>
      </w:r>
      <w:r w:rsidR="00CB11D3" w:rsidRPr="00924DFA">
        <w:rPr>
          <w:color w:val="000000" w:themeColor="text1"/>
        </w:rPr>
        <w:t>, выдается документ о квалификации (удостоверение о повышении квалификации), оформляемый на бланке, образец которого самостоятельно устанавливается образовательной организацией.</w:t>
      </w:r>
    </w:p>
    <w:p w:rsidR="00CB11D3" w:rsidRPr="00924DFA" w:rsidRDefault="00DD5695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D5695">
        <w:rPr>
          <w:color w:val="000000" w:themeColor="text1"/>
        </w:rPr>
        <w:pict>
          <v:shape id="_x0000_i1027" type="#_x0000_t75" alt="" style="width:8.15pt;height:17pt"/>
        </w:pict>
      </w:r>
      <w:r w:rsidR="00CB11D3" w:rsidRPr="00924DFA">
        <w:rPr>
          <w:color w:val="000000" w:themeColor="text1"/>
        </w:rPr>
        <w:t> Собрание законодательства Российской Федерации, 2012, N 53</w:t>
      </w:r>
      <w:r w:rsidR="002C137C" w:rsidRPr="00924DFA">
        <w:rPr>
          <w:color w:val="000000" w:themeColor="text1"/>
        </w:rPr>
        <w:t>, ст.7598; 2020, N 22, ст.3379.</w:t>
      </w:r>
    </w:p>
    <w:p w:rsidR="00CB11D3" w:rsidRPr="00924DFA" w:rsidRDefault="002C137C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5</w:t>
      </w:r>
      <w:r w:rsidR="00CB11D3" w:rsidRPr="00924DFA">
        <w:rPr>
          <w:color w:val="000000" w:themeColor="text1"/>
        </w:rPr>
        <w:t>. В соответствии с </w:t>
      </w:r>
      <w:hyperlink r:id="rId16" w:anchor="A8Q0NF" w:history="1">
        <w:r w:rsidR="00CB11D3" w:rsidRPr="00924DFA">
          <w:rPr>
            <w:rStyle w:val="a4"/>
            <w:color w:val="000000" w:themeColor="text1"/>
            <w:u w:val="none"/>
          </w:rPr>
          <w:t>частью 12 статьи 60 Федерального закона N 273-ФЗ</w:t>
        </w:r>
      </w:hyperlink>
      <w:r w:rsidR="00DD5695" w:rsidRPr="00DD5695">
        <w:rPr>
          <w:color w:val="000000" w:themeColor="text1"/>
        </w:rPr>
        <w:pict>
          <v:shape id="_x0000_i1028" type="#_x0000_t75" alt="" style="width:8.15pt;height:17pt"/>
        </w:pict>
      </w:r>
      <w:r w:rsidR="00CB11D3" w:rsidRPr="00924DFA">
        <w:rPr>
          <w:color w:val="000000" w:themeColor="text1"/>
        </w:rPr>
        <w:t xml:space="preserve"> лицам, не прошедшим </w:t>
      </w:r>
      <w:r w:rsidRPr="00924DFA">
        <w:rPr>
          <w:color w:val="000000" w:themeColor="text1"/>
        </w:rPr>
        <w:t>итоговое тестирование</w:t>
      </w:r>
      <w:r w:rsidR="00CB11D3" w:rsidRPr="00924DFA">
        <w:rPr>
          <w:color w:val="000000" w:themeColor="text1"/>
        </w:rPr>
        <w:t xml:space="preserve"> или п</w:t>
      </w:r>
      <w:r w:rsidRPr="00924DFA">
        <w:rPr>
          <w:color w:val="000000" w:themeColor="text1"/>
        </w:rPr>
        <w:t>олучившим на итоговом тестировании</w:t>
      </w:r>
      <w:r w:rsidR="00CB11D3" w:rsidRPr="00924DFA">
        <w:rPr>
          <w:color w:val="000000" w:themeColor="text1"/>
        </w:rPr>
        <w:t xml:space="preserve">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CB11D3" w:rsidRPr="00924DFA" w:rsidRDefault="00CB11D3" w:rsidP="002C137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924DFA">
        <w:rPr>
          <w:color w:val="000000" w:themeColor="text1"/>
        </w:rPr>
        <w:t>Собрание законодательства Российской Федерации, 2012, N 53, ст.7598.</w:t>
      </w:r>
    </w:p>
    <w:p w:rsidR="0008626B" w:rsidRPr="00924DFA" w:rsidRDefault="0008626B" w:rsidP="002C137C">
      <w:p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08626B" w:rsidRPr="00924DFA" w:rsidSect="00F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2A"/>
    <w:multiLevelType w:val="hybridMultilevel"/>
    <w:tmpl w:val="8B62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8626B"/>
    <w:rsid w:val="0008626B"/>
    <w:rsid w:val="00087974"/>
    <w:rsid w:val="00101BF1"/>
    <w:rsid w:val="00126037"/>
    <w:rsid w:val="0024691A"/>
    <w:rsid w:val="002C137C"/>
    <w:rsid w:val="00311A9C"/>
    <w:rsid w:val="00354F70"/>
    <w:rsid w:val="003555A3"/>
    <w:rsid w:val="003A6DC4"/>
    <w:rsid w:val="004D6445"/>
    <w:rsid w:val="0063405F"/>
    <w:rsid w:val="006F21FC"/>
    <w:rsid w:val="00753290"/>
    <w:rsid w:val="00796F63"/>
    <w:rsid w:val="007D3EAB"/>
    <w:rsid w:val="00844AC2"/>
    <w:rsid w:val="00924DFA"/>
    <w:rsid w:val="00932858"/>
    <w:rsid w:val="00932E8C"/>
    <w:rsid w:val="009407E7"/>
    <w:rsid w:val="00A22392"/>
    <w:rsid w:val="00AF6DE9"/>
    <w:rsid w:val="00B27790"/>
    <w:rsid w:val="00BA448E"/>
    <w:rsid w:val="00C17965"/>
    <w:rsid w:val="00CB11D3"/>
    <w:rsid w:val="00CD22D9"/>
    <w:rsid w:val="00D43CA4"/>
    <w:rsid w:val="00D95114"/>
    <w:rsid w:val="00DD5695"/>
    <w:rsid w:val="00EA1E38"/>
    <w:rsid w:val="00EE66E2"/>
    <w:rsid w:val="00F618D8"/>
    <w:rsid w:val="00FD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62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6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locked/>
    <w:rsid w:val="0008626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626B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11ptBold">
    <w:name w:val="Body text (2) + 11 pt;Bold"/>
    <w:basedOn w:val="Bodytext2"/>
    <w:rsid w:val="0008626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626B"/>
  </w:style>
  <w:style w:type="paragraph" w:customStyle="1" w:styleId="c27">
    <w:name w:val="c27"/>
    <w:basedOn w:val="a"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F6D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D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formattext">
    <w:name w:val="formattext"/>
    <w:basedOn w:val="a"/>
    <w:rsid w:val="00AF6D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F6D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headertext">
    <w:name w:val="headertext"/>
    <w:basedOn w:val="a"/>
    <w:rsid w:val="00CB11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C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43337" TargetMode="External"/><Relationship Id="rId13" Type="http://schemas.openxmlformats.org/officeDocument/2006/relationships/hyperlink" Target="https://docs.cntd.ru/document/9021116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837297" TargetMode="External"/><Relationship Id="rId12" Type="http://schemas.openxmlformats.org/officeDocument/2006/relationships/hyperlink" Target="https://docs.cntd.ru/document/5658372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896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37297" TargetMode="External"/><Relationship Id="rId11" Type="http://schemas.openxmlformats.org/officeDocument/2006/relationships/hyperlink" Target="https://docs.cntd.ru/document/565837297" TargetMode="External"/><Relationship Id="rId5" Type="http://schemas.openxmlformats.org/officeDocument/2006/relationships/hyperlink" Target="https://docs.cntd.ru/document/901902347" TargetMode="External"/><Relationship Id="rId1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902111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43337" TargetMode="External"/><Relationship Id="rId1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2022-03-01T10:52:00Z</dcterms:created>
  <dcterms:modified xsi:type="dcterms:W3CDTF">2022-03-01T10:52:00Z</dcterms:modified>
</cp:coreProperties>
</file>